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F3453" w:rsidP="00EF3453">
      <w:pPr>
        <w:spacing w:after="0"/>
        <w:ind w:firstLine="284"/>
        <w:jc w:val="center"/>
      </w:pPr>
      <w:bookmarkStart w:id="0" w:name="_GoBack"/>
      <w:r>
        <w:t>Highline Financial Services</w:t>
      </w:r>
      <w:bookmarkEnd w:id="0"/>
      <w:r>
        <w:t>, Ltd</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4D4872" w:rsidRDefault="004D4872" w:rsidP="00C7128E">
      <w:pPr>
        <w:spacing w:after="0"/>
        <w:ind w:firstLine="284"/>
        <w:jc w:val="center"/>
      </w:pPr>
      <w:r>
        <w:lastRenderedPageBreak/>
        <w:t>Highline Financial Services, Ltd</w:t>
      </w:r>
    </w:p>
    <w:p w:rsidR="004D4872" w:rsidRDefault="004D4872" w:rsidP="00D4518C">
      <w:pPr>
        <w:spacing w:after="0"/>
        <w:ind w:firstLine="720"/>
      </w:pPr>
      <w:r>
        <w:t>Highline Financial Services, Ltd issues three categories of products to its customers in the market. The services include A, B, and C, whose demand varies within different quarters. The need for the company's products goes over the last two years. The demand forecast that would get used in the analysis is the moving average (MA). A moving average is essential in making sure a series of standards gets calculated to analyze data. The use of a moving average helps in averaging stock to assist in smoothing out the price data. An updated average price of products can get determined through a calculation using a moving average</w:t>
      </w:r>
      <w:r w:rsidR="00FE58FA">
        <w:t xml:space="preserve"> </w:t>
      </w:r>
      <w:r w:rsidR="00FE58FA">
        <w:rPr>
          <w:szCs w:val="24"/>
        </w:rPr>
        <w:t>(</w:t>
      </w:r>
      <w:r w:rsidR="00FE58FA" w:rsidRPr="00743AF7">
        <w:rPr>
          <w:szCs w:val="24"/>
        </w:rPr>
        <w:t>F</w:t>
      </w:r>
      <w:r w:rsidR="00FE58FA">
        <w:rPr>
          <w:szCs w:val="24"/>
        </w:rPr>
        <w:t>ischer, &amp; Krauss, 2018)</w:t>
      </w:r>
      <w:r>
        <w:t xml:space="preserve">. Short term fluctuation of costs and the impact of random stock prices over a period may bring determined. The use of moving averages is simple in assisting the calculation of short term averages in a company. </w:t>
      </w:r>
    </w:p>
    <w:p w:rsidR="004D4872" w:rsidRDefault="004D4872" w:rsidP="00D4518C">
      <w:pPr>
        <w:spacing w:after="0"/>
        <w:ind w:firstLine="720"/>
      </w:pPr>
      <w:r>
        <w:t xml:space="preserve">Moving Average= (A1 + A2)/n where A is the average in a period while n is the number of periods. </w:t>
      </w:r>
    </w:p>
    <w:p w:rsidR="004D4872" w:rsidRDefault="004D4872" w:rsidP="00D4518C">
      <w:pPr>
        <w:spacing w:after="0"/>
        <w:ind w:firstLine="720"/>
      </w:pPr>
      <w:r>
        <w:t>For quarter three, the calculations would be as follows:</w:t>
      </w:r>
    </w:p>
    <w:tbl>
      <w:tblPr>
        <w:tblStyle w:val="TableGrid"/>
        <w:tblW w:w="0" w:type="auto"/>
        <w:tblLook w:val="04A0" w:firstRow="1" w:lastRow="0" w:firstColumn="1" w:lastColumn="0" w:noHBand="0" w:noVBand="1"/>
      </w:tblPr>
      <w:tblGrid>
        <w:gridCol w:w="9350"/>
      </w:tblGrid>
      <w:tr w:rsidR="00D4518C" w:rsidRPr="00D4518C" w:rsidTr="00D4518C">
        <w:tc>
          <w:tcPr>
            <w:tcW w:w="9576" w:type="dxa"/>
          </w:tcPr>
          <w:p w:rsidR="00D4518C" w:rsidRPr="00D4518C" w:rsidRDefault="00D4518C" w:rsidP="00C16DC2">
            <w:pPr>
              <w:rPr>
                <w:szCs w:val="24"/>
              </w:rPr>
            </w:pPr>
            <w:r w:rsidRPr="00D4518C">
              <w:t xml:space="preserve">  </w:t>
            </w:r>
            <w:r w:rsidRPr="00D4518C">
              <w:rPr>
                <w:szCs w:val="24"/>
              </w:rPr>
              <w:t>1</w:t>
            </w:r>
            <w:r w:rsidRPr="00D4518C">
              <w:rPr>
                <w:szCs w:val="24"/>
                <w:vertAlign w:val="superscript"/>
              </w:rPr>
              <w:t>ST</w:t>
            </w:r>
            <w:r w:rsidRPr="00D4518C">
              <w:rPr>
                <w:szCs w:val="24"/>
              </w:rPr>
              <w:t xml:space="preserve"> Quarter                          2</w:t>
            </w:r>
            <w:r w:rsidRPr="00D4518C">
              <w:rPr>
                <w:szCs w:val="24"/>
                <w:vertAlign w:val="superscript"/>
              </w:rPr>
              <w:t>nd</w:t>
            </w:r>
            <w:r w:rsidRPr="00D4518C">
              <w:rPr>
                <w:szCs w:val="24"/>
              </w:rPr>
              <w:t xml:space="preserve"> quarter                  3</w:t>
            </w:r>
            <w:r w:rsidRPr="00D4518C">
              <w:rPr>
                <w:szCs w:val="24"/>
                <w:vertAlign w:val="superscript"/>
              </w:rPr>
              <w:t>RD</w:t>
            </w:r>
            <w:r w:rsidRPr="00D4518C">
              <w:rPr>
                <w:szCs w:val="24"/>
              </w:rPr>
              <w:t xml:space="preserve"> quarter                         4rth quarter</w:t>
            </w:r>
          </w:p>
        </w:tc>
      </w:tr>
      <w:tr w:rsidR="00D4518C" w:rsidRPr="00D4518C" w:rsidTr="00D4518C">
        <w:tc>
          <w:tcPr>
            <w:tcW w:w="9576" w:type="dxa"/>
          </w:tcPr>
          <w:p w:rsidR="00D4518C" w:rsidRPr="00D4518C" w:rsidRDefault="00D4518C" w:rsidP="00C16DC2">
            <w:pPr>
              <w:rPr>
                <w:szCs w:val="24"/>
              </w:rPr>
            </w:pPr>
            <w:r w:rsidRPr="00D4518C">
              <w:rPr>
                <w:szCs w:val="24"/>
              </w:rPr>
              <w:t>A                                         A                                 A                                            A</w:t>
            </w:r>
          </w:p>
        </w:tc>
      </w:tr>
      <w:tr w:rsidR="00D4518C" w:rsidRPr="00D4518C" w:rsidTr="00D4518C">
        <w:tc>
          <w:tcPr>
            <w:tcW w:w="9576" w:type="dxa"/>
          </w:tcPr>
          <w:p w:rsidR="00D4518C" w:rsidRPr="00D4518C" w:rsidRDefault="00D4518C" w:rsidP="00C16DC2">
            <w:pPr>
              <w:rPr>
                <w:szCs w:val="24"/>
                <w:vertAlign w:val="subscript"/>
              </w:rPr>
            </w:pPr>
            <w:r w:rsidRPr="00D4518C">
              <w:rPr>
                <w:szCs w:val="24"/>
              </w:rPr>
              <w:t>(60 + 72)/2= 66                (45 + 51)/2 = 48         (100 + 112)/2 = 106             (75 + 85)/2 =80</w:t>
            </w:r>
          </w:p>
        </w:tc>
      </w:tr>
      <w:tr w:rsidR="00D4518C" w:rsidRPr="00D4518C" w:rsidTr="00D4518C">
        <w:tc>
          <w:tcPr>
            <w:tcW w:w="9576" w:type="dxa"/>
          </w:tcPr>
          <w:p w:rsidR="00D4518C" w:rsidRPr="00D4518C" w:rsidRDefault="00D4518C" w:rsidP="00C16DC2">
            <w:pPr>
              <w:rPr>
                <w:szCs w:val="24"/>
              </w:rPr>
            </w:pPr>
            <w:r w:rsidRPr="00D4518C">
              <w:rPr>
                <w:szCs w:val="24"/>
              </w:rPr>
              <w:t>B                                        B                                B                                               B</w:t>
            </w:r>
          </w:p>
        </w:tc>
      </w:tr>
      <w:tr w:rsidR="00D4518C" w:rsidRPr="00D4518C" w:rsidTr="00D4518C">
        <w:tc>
          <w:tcPr>
            <w:tcW w:w="9576" w:type="dxa"/>
          </w:tcPr>
          <w:p w:rsidR="00D4518C" w:rsidRPr="00D4518C" w:rsidRDefault="00D4518C" w:rsidP="00C16DC2">
            <w:pPr>
              <w:rPr>
                <w:szCs w:val="24"/>
                <w:vertAlign w:val="subscript"/>
              </w:rPr>
            </w:pPr>
            <w:r w:rsidRPr="00D4518C">
              <w:rPr>
                <w:szCs w:val="24"/>
              </w:rPr>
              <w:t>(95</w:t>
            </w:r>
            <w:r w:rsidRPr="00D4518C">
              <w:rPr>
                <w:szCs w:val="24"/>
              </w:rPr>
              <w:softHyphen/>
              <w:t xml:space="preserve"> + 85)/2 = 90               (85 + 75)/2 = 80          (92 + 85)/2 = 88.5               (65 + 50)/2 =57.5</w:t>
            </w:r>
          </w:p>
        </w:tc>
      </w:tr>
      <w:tr w:rsidR="00D4518C" w:rsidRPr="00D4518C" w:rsidTr="00D4518C">
        <w:tc>
          <w:tcPr>
            <w:tcW w:w="9576" w:type="dxa"/>
          </w:tcPr>
          <w:p w:rsidR="00D4518C" w:rsidRPr="00D4518C" w:rsidRDefault="00D4518C" w:rsidP="00C16DC2">
            <w:pPr>
              <w:tabs>
                <w:tab w:val="left" w:pos="6180"/>
              </w:tabs>
              <w:rPr>
                <w:szCs w:val="24"/>
              </w:rPr>
            </w:pPr>
            <w:r w:rsidRPr="00D4518C">
              <w:rPr>
                <w:szCs w:val="24"/>
              </w:rPr>
              <w:t>C                                       C                                   C                                               C</w:t>
            </w:r>
          </w:p>
        </w:tc>
      </w:tr>
      <w:tr w:rsidR="00D4518C" w:rsidRPr="00D4518C" w:rsidTr="00D4518C">
        <w:tc>
          <w:tcPr>
            <w:tcW w:w="9576" w:type="dxa"/>
          </w:tcPr>
          <w:p w:rsidR="00D4518C" w:rsidRPr="00D4518C" w:rsidRDefault="00D4518C" w:rsidP="00C16DC2">
            <w:pPr>
              <w:rPr>
                <w:szCs w:val="24"/>
              </w:rPr>
            </w:pPr>
            <w:r w:rsidRPr="00D4518C">
              <w:rPr>
                <w:szCs w:val="24"/>
              </w:rPr>
              <w:t>(93 + 102)/2 = 97.5       (90 + 75)/2 = 82.5         (110 + 110)/2 = 110           (90 + 100)/2 =95</w:t>
            </w:r>
          </w:p>
        </w:tc>
      </w:tr>
    </w:tbl>
    <w:p w:rsidR="00362BAC" w:rsidRDefault="00362BAC" w:rsidP="00D4518C">
      <w:pPr>
        <w:ind w:firstLine="720"/>
      </w:pPr>
    </w:p>
    <w:tbl>
      <w:tblPr>
        <w:tblStyle w:val="TableGrid"/>
        <w:tblW w:w="9756" w:type="dxa"/>
        <w:tblLook w:val="04A0" w:firstRow="1" w:lastRow="0" w:firstColumn="1" w:lastColumn="0" w:noHBand="0" w:noVBand="1"/>
      </w:tblPr>
      <w:tblGrid>
        <w:gridCol w:w="2439"/>
        <w:gridCol w:w="2439"/>
        <w:gridCol w:w="2439"/>
        <w:gridCol w:w="2439"/>
      </w:tblGrid>
      <w:tr w:rsidR="00362BAC" w:rsidTr="00362BAC">
        <w:trPr>
          <w:trHeight w:val="429"/>
        </w:trPr>
        <w:tc>
          <w:tcPr>
            <w:tcW w:w="2439" w:type="dxa"/>
          </w:tcPr>
          <w:p w:rsidR="00362BAC" w:rsidRDefault="00362BAC" w:rsidP="00D4518C">
            <w:pPr>
              <w:ind w:firstLine="720"/>
            </w:pPr>
            <w:r>
              <w:t>QUARTER</w:t>
            </w:r>
          </w:p>
        </w:tc>
        <w:tc>
          <w:tcPr>
            <w:tcW w:w="2439" w:type="dxa"/>
          </w:tcPr>
          <w:p w:rsidR="00362BAC" w:rsidRDefault="00362BAC" w:rsidP="00D4518C">
            <w:pPr>
              <w:ind w:firstLine="720"/>
            </w:pPr>
            <w:r>
              <w:t>A</w:t>
            </w:r>
          </w:p>
        </w:tc>
        <w:tc>
          <w:tcPr>
            <w:tcW w:w="2439" w:type="dxa"/>
          </w:tcPr>
          <w:p w:rsidR="00362BAC" w:rsidRDefault="00362BAC" w:rsidP="00D4518C">
            <w:pPr>
              <w:ind w:firstLine="720"/>
            </w:pPr>
            <w:r>
              <w:t>B</w:t>
            </w:r>
          </w:p>
        </w:tc>
        <w:tc>
          <w:tcPr>
            <w:tcW w:w="2439" w:type="dxa"/>
          </w:tcPr>
          <w:p w:rsidR="00362BAC" w:rsidRDefault="00362BAC" w:rsidP="00D4518C">
            <w:pPr>
              <w:ind w:firstLine="720"/>
            </w:pPr>
            <w:r>
              <w:t>C</w:t>
            </w:r>
          </w:p>
        </w:tc>
      </w:tr>
      <w:tr w:rsidR="00362BAC" w:rsidTr="00362BAC">
        <w:trPr>
          <w:trHeight w:val="404"/>
        </w:trPr>
        <w:tc>
          <w:tcPr>
            <w:tcW w:w="2439" w:type="dxa"/>
          </w:tcPr>
          <w:p w:rsidR="00362BAC" w:rsidRDefault="00362BAC" w:rsidP="00D4518C">
            <w:pPr>
              <w:ind w:firstLine="720"/>
            </w:pPr>
            <w:r>
              <w:t>1</w:t>
            </w:r>
          </w:p>
        </w:tc>
        <w:tc>
          <w:tcPr>
            <w:tcW w:w="2439" w:type="dxa"/>
          </w:tcPr>
          <w:p w:rsidR="00362BAC" w:rsidRDefault="00362BAC" w:rsidP="00D4518C">
            <w:pPr>
              <w:ind w:firstLine="720"/>
            </w:pPr>
            <w:r>
              <w:t>66</w:t>
            </w:r>
          </w:p>
        </w:tc>
        <w:tc>
          <w:tcPr>
            <w:tcW w:w="2439" w:type="dxa"/>
          </w:tcPr>
          <w:p w:rsidR="00362BAC" w:rsidRDefault="00362BAC" w:rsidP="00D4518C">
            <w:pPr>
              <w:ind w:firstLine="720"/>
            </w:pPr>
            <w:r>
              <w:t>90</w:t>
            </w:r>
          </w:p>
        </w:tc>
        <w:tc>
          <w:tcPr>
            <w:tcW w:w="2439" w:type="dxa"/>
          </w:tcPr>
          <w:p w:rsidR="00362BAC" w:rsidRDefault="00362BAC" w:rsidP="00D4518C">
            <w:pPr>
              <w:ind w:firstLine="720"/>
            </w:pPr>
            <w:r>
              <w:t>97.5</w:t>
            </w:r>
          </w:p>
        </w:tc>
      </w:tr>
      <w:tr w:rsidR="00362BAC" w:rsidTr="00362BAC">
        <w:trPr>
          <w:trHeight w:val="429"/>
        </w:trPr>
        <w:tc>
          <w:tcPr>
            <w:tcW w:w="2439" w:type="dxa"/>
          </w:tcPr>
          <w:p w:rsidR="00362BAC" w:rsidRDefault="00362BAC" w:rsidP="00D4518C">
            <w:pPr>
              <w:ind w:firstLine="720"/>
            </w:pPr>
            <w:r>
              <w:t>2</w:t>
            </w:r>
          </w:p>
        </w:tc>
        <w:tc>
          <w:tcPr>
            <w:tcW w:w="2439" w:type="dxa"/>
          </w:tcPr>
          <w:p w:rsidR="00362BAC" w:rsidRDefault="00362BAC" w:rsidP="00D4518C">
            <w:pPr>
              <w:ind w:firstLine="720"/>
            </w:pPr>
            <w:r>
              <w:t>48</w:t>
            </w:r>
          </w:p>
        </w:tc>
        <w:tc>
          <w:tcPr>
            <w:tcW w:w="2439" w:type="dxa"/>
          </w:tcPr>
          <w:p w:rsidR="00362BAC" w:rsidRDefault="00362BAC" w:rsidP="00D4518C">
            <w:pPr>
              <w:ind w:firstLine="720"/>
            </w:pPr>
            <w:r>
              <w:t>80</w:t>
            </w:r>
          </w:p>
        </w:tc>
        <w:tc>
          <w:tcPr>
            <w:tcW w:w="2439" w:type="dxa"/>
          </w:tcPr>
          <w:p w:rsidR="00362BAC" w:rsidRDefault="00362BAC" w:rsidP="00D4518C">
            <w:pPr>
              <w:ind w:firstLine="720"/>
            </w:pPr>
            <w:r>
              <w:t>82.5</w:t>
            </w:r>
          </w:p>
        </w:tc>
      </w:tr>
      <w:tr w:rsidR="00362BAC" w:rsidTr="00362BAC">
        <w:trPr>
          <w:trHeight w:val="404"/>
        </w:trPr>
        <w:tc>
          <w:tcPr>
            <w:tcW w:w="2439" w:type="dxa"/>
          </w:tcPr>
          <w:p w:rsidR="00362BAC" w:rsidRDefault="00362BAC" w:rsidP="00D4518C">
            <w:pPr>
              <w:ind w:firstLine="720"/>
            </w:pPr>
            <w:r>
              <w:t>3</w:t>
            </w:r>
          </w:p>
        </w:tc>
        <w:tc>
          <w:tcPr>
            <w:tcW w:w="2439" w:type="dxa"/>
          </w:tcPr>
          <w:p w:rsidR="00362BAC" w:rsidRDefault="00362BAC" w:rsidP="00D4518C">
            <w:pPr>
              <w:ind w:firstLine="720"/>
            </w:pPr>
            <w:r>
              <w:t>106</w:t>
            </w:r>
          </w:p>
        </w:tc>
        <w:tc>
          <w:tcPr>
            <w:tcW w:w="2439" w:type="dxa"/>
          </w:tcPr>
          <w:p w:rsidR="00362BAC" w:rsidRDefault="00362BAC" w:rsidP="00D4518C">
            <w:pPr>
              <w:ind w:firstLine="720"/>
            </w:pPr>
            <w:r>
              <w:t>88.5</w:t>
            </w:r>
          </w:p>
        </w:tc>
        <w:tc>
          <w:tcPr>
            <w:tcW w:w="2439" w:type="dxa"/>
          </w:tcPr>
          <w:p w:rsidR="00362BAC" w:rsidRDefault="00362BAC" w:rsidP="00D4518C">
            <w:pPr>
              <w:ind w:firstLine="720"/>
            </w:pPr>
            <w:r>
              <w:t>110</w:t>
            </w:r>
          </w:p>
        </w:tc>
      </w:tr>
      <w:tr w:rsidR="00362BAC" w:rsidTr="00362BAC">
        <w:trPr>
          <w:trHeight w:val="429"/>
        </w:trPr>
        <w:tc>
          <w:tcPr>
            <w:tcW w:w="2439" w:type="dxa"/>
          </w:tcPr>
          <w:p w:rsidR="00362BAC" w:rsidRDefault="00362BAC" w:rsidP="00D4518C">
            <w:pPr>
              <w:ind w:firstLine="720"/>
            </w:pPr>
            <w:r>
              <w:t>4</w:t>
            </w:r>
          </w:p>
        </w:tc>
        <w:tc>
          <w:tcPr>
            <w:tcW w:w="2439" w:type="dxa"/>
          </w:tcPr>
          <w:p w:rsidR="00362BAC" w:rsidRDefault="00362BAC" w:rsidP="00D4518C">
            <w:pPr>
              <w:ind w:firstLine="720"/>
            </w:pPr>
            <w:r>
              <w:t>80</w:t>
            </w:r>
          </w:p>
        </w:tc>
        <w:tc>
          <w:tcPr>
            <w:tcW w:w="2439" w:type="dxa"/>
          </w:tcPr>
          <w:p w:rsidR="00362BAC" w:rsidRDefault="00362BAC" w:rsidP="00D4518C">
            <w:pPr>
              <w:ind w:firstLine="720"/>
            </w:pPr>
            <w:r>
              <w:t>57.5</w:t>
            </w:r>
          </w:p>
        </w:tc>
        <w:tc>
          <w:tcPr>
            <w:tcW w:w="2439" w:type="dxa"/>
          </w:tcPr>
          <w:p w:rsidR="00362BAC" w:rsidRDefault="00362BAC" w:rsidP="00D4518C">
            <w:pPr>
              <w:ind w:firstLine="720"/>
            </w:pPr>
            <w:r>
              <w:t>95</w:t>
            </w:r>
          </w:p>
        </w:tc>
      </w:tr>
    </w:tbl>
    <w:p w:rsidR="004D4872" w:rsidRDefault="004D4872" w:rsidP="00D4518C">
      <w:pPr>
        <w:spacing w:after="0"/>
        <w:ind w:firstLine="720"/>
      </w:pPr>
    </w:p>
    <w:p w:rsidR="004D4872" w:rsidRDefault="004D4872" w:rsidP="00D4518C">
      <w:pPr>
        <w:spacing w:after="0"/>
        <w:ind w:firstLine="720"/>
      </w:pPr>
      <w:r>
        <w:lastRenderedPageBreak/>
        <w:t xml:space="preserve">I chose the use of moving average because it helps in identifying the trend direction of a stock. The trend-following of the future stock can get determined through the use of past prices. Moving averages are significant indicators that enable investors to choose time frames for calculations freely. The period affects the price changes in a company's products. Different periods can get used in calculating price changes in a company product. The calculation of trends in predicting stock market price changes using the moving average indicates future changes. Technical analysis and research make the figures' calculation to get done in a better way that predicts future price changes. Investors can use the method to understand the price changes in their stock and create effective plans. The use of the moving average establishes an understanding of the time taken to achieve sales improvement by an organization. </w:t>
      </w:r>
    </w:p>
    <w:p w:rsidR="004D4872" w:rsidRDefault="004D4872" w:rsidP="00D4518C">
      <w:pPr>
        <w:spacing w:after="0"/>
        <w:ind w:firstLine="720"/>
      </w:pPr>
      <w:r>
        <w:t>A moving average that rises shows a company's security is on the uptrend while a declining moving average shows it's on a downtrend. The relationship between services quarters can get averaged and ensure future stock prediction of prices to get determined</w:t>
      </w:r>
      <w:r w:rsidR="00C7128E" w:rsidRPr="00C7128E">
        <w:rPr>
          <w:szCs w:val="24"/>
        </w:rPr>
        <w:t xml:space="preserve"> </w:t>
      </w:r>
      <w:r w:rsidR="00C7128E">
        <w:rPr>
          <w:szCs w:val="24"/>
        </w:rPr>
        <w:t>(</w:t>
      </w:r>
      <w:r w:rsidR="00C7128E" w:rsidRPr="00743AF7">
        <w:rPr>
          <w:szCs w:val="24"/>
        </w:rPr>
        <w:t>F</w:t>
      </w:r>
      <w:r w:rsidR="00C7128E">
        <w:rPr>
          <w:szCs w:val="24"/>
        </w:rPr>
        <w:t>ischer, &amp; Krauss, 2018)</w:t>
      </w:r>
      <w:r>
        <w:t xml:space="preserve">. Highline Financial Services Ltd can use moving average in forecasting its worth in the future without making errors. The use of the moving average is significant in determining the downward and upward momentum in each quarter. Averaging the data is useful in understanding the information that would help make a technical analysis of the finances. Calculation of the third quarter changes in the product stocks led to an understanding of future prices. The process of predicting trends in the stock market of Highline Financial Services, Ltd can get done through more straightforward calculations. The moving average can make better predictions concerning the technical analysis of the stock market. Better forecasts in the market can get obtained to make sure stock averaging gets conducted effectively. </w:t>
      </w:r>
    </w:p>
    <w:p w:rsidR="004D4872" w:rsidRDefault="004D4872" w:rsidP="00D4518C">
      <w:pPr>
        <w:spacing w:after="0"/>
        <w:ind w:firstLine="720"/>
      </w:pPr>
      <w:r>
        <w:lastRenderedPageBreak/>
        <w:t>I chose the use of moving average to calculate each quarter calculations because it helped determine the stocks' short-term standards. The values were different from each other without any form of consistency between them. Lack of consistent difference within the values made me use the moving average to determine the data's calculation. Each quarter could get averaged and then divided by the number of periods</w:t>
      </w:r>
      <w:r w:rsidR="00EF3453">
        <w:t xml:space="preserve"> </w:t>
      </w:r>
      <w:r w:rsidR="00EF3453">
        <w:rPr>
          <w:szCs w:val="24"/>
        </w:rPr>
        <w:t>(</w:t>
      </w:r>
      <w:r w:rsidR="00EF3453" w:rsidRPr="00743AF7">
        <w:rPr>
          <w:szCs w:val="24"/>
        </w:rPr>
        <w:t>Rubi</w:t>
      </w:r>
      <w:r w:rsidR="00EF3453">
        <w:rPr>
          <w:szCs w:val="24"/>
        </w:rPr>
        <w:t>n, &amp; Patel, 2017)</w:t>
      </w:r>
      <w:r>
        <w:t xml:space="preserve">. The process was significant in creating an understandable process of averaging that involved all the stock prices in Highline Financial Services. The company could determine the stock price changes for the fourth quarter to predict future prices. The moving average continuously determines the creation of an average price that enabled the organization to understand its stock prices. Forecasting of the stock prices in the future through moving average is useful in recording significant changes. The process allows the development of arithmetic means in each quarter to get conducted systematically. </w:t>
      </w:r>
    </w:p>
    <w:p w:rsidR="004D4872" w:rsidRDefault="004D4872" w:rsidP="00D4518C">
      <w:pPr>
        <w:spacing w:after="0"/>
        <w:ind w:firstLine="720"/>
      </w:pPr>
      <w:r>
        <w:t>Some benefits get incurred when a formalized approach to forecasting gets used in an organization. Firstly, they ensure a wide range of decisions gets provided. The course equips organizations with additional knowledge in determining future price changes</w:t>
      </w:r>
      <w:r w:rsidR="001D331D" w:rsidRPr="001D331D">
        <w:rPr>
          <w:szCs w:val="24"/>
        </w:rPr>
        <w:t xml:space="preserve"> </w:t>
      </w:r>
      <w:r w:rsidR="001D331D">
        <w:rPr>
          <w:szCs w:val="24"/>
        </w:rPr>
        <w:t>(</w:t>
      </w:r>
      <w:r w:rsidR="001D331D" w:rsidRPr="00743AF7">
        <w:rPr>
          <w:szCs w:val="24"/>
        </w:rPr>
        <w:t>Rubi</w:t>
      </w:r>
      <w:r w:rsidR="001D331D">
        <w:rPr>
          <w:szCs w:val="24"/>
        </w:rPr>
        <w:t>n, &amp; Patel, 2017)</w:t>
      </w:r>
      <w:r>
        <w:t xml:space="preserve">. Thus, an organization may develop new methods to use in increasing sales. Decisions that involve sales uptrend can get created through sales of products that consumers need. Broad decisions concerning the pricing of stock can get done through increasing production capacities. The larger the number of goods and services get produced, the higher the price of the store. Secondly, it is easier to utilize the use of computers and quantify information. Information on goods and services within the organization can get used at all levels and increase price determination. The retail stores in organizations can use computers to quantify all their products to ensure stocks get recorded. Computers' usage provides quantification to prepare in a more straightforward process and determine uptrend or downtrend in an organization. </w:t>
      </w:r>
    </w:p>
    <w:p w:rsidR="004D4872" w:rsidRPr="00F76DBA" w:rsidRDefault="004D4872" w:rsidP="00D4518C">
      <w:pPr>
        <w:spacing w:after="0"/>
        <w:ind w:firstLine="720"/>
        <w:rPr>
          <w:szCs w:val="24"/>
        </w:rPr>
      </w:pPr>
      <w:r>
        <w:lastRenderedPageBreak/>
        <w:t>Additionally, a formalized approach forms essential inputs in making decisions by an organization—forecasting aids in determining the losses and profits that businesses within the market record. Calculation of figures using moving average and linear regression can make companies choose future losses and gains. Utilization of personal intuition gets promoted by a less formalized approach to forecasting that may prevent organizations' future understanding</w:t>
      </w:r>
      <w:r w:rsidR="002C58B6">
        <w:t xml:space="preserve"> </w:t>
      </w:r>
      <w:r w:rsidR="002C58B6">
        <w:rPr>
          <w:szCs w:val="24"/>
        </w:rPr>
        <w:t>(Xu, Gu, &amp; Zhou, 2017)</w:t>
      </w:r>
      <w:r>
        <w:t>. Also, accurate planning can get achieved through the formalized system by companies. Sales forecast used in firms may ensure planning for production to get created effectively. The process of acquisition of resources can get developed to help understand stock outlets. External funding would get used to allowing for the process of making plans for the stocks. Operations management can use a formalized approach to gather resources that a company needs for its growth. Sales get made based on real sales obtained in part of the market. A legalized sales forecast ensures sales to get achieved in organizations aiming to make improvements in the market. The sales forecast determines the expected level of sales based on a marketing plan and environmental conditions. A sales forecast is the core arch of the structure of modern marketing research. The accurate and authentic sales forecast is the key to managing inputs, making sales improvement to get increased.</w:t>
      </w:r>
    </w:p>
    <w:p w:rsidR="001E78AD" w:rsidRDefault="001E78AD" w:rsidP="001E78AD">
      <w:pPr>
        <w:spacing w:after="0"/>
        <w:ind w:left="720" w:hangingChars="300" w:hanging="720"/>
        <w:rPr>
          <w:szCs w:val="24"/>
        </w:rPr>
      </w:pPr>
    </w:p>
    <w:p w:rsidR="00D4518C" w:rsidRDefault="00D4518C">
      <w:pPr>
        <w:rPr>
          <w:szCs w:val="24"/>
        </w:rPr>
      </w:pPr>
      <w:r>
        <w:rPr>
          <w:szCs w:val="24"/>
        </w:rPr>
        <w:br w:type="page"/>
      </w:r>
    </w:p>
    <w:p w:rsidR="00743AF7" w:rsidRPr="00D77F2F" w:rsidRDefault="004D4872" w:rsidP="00743AF7">
      <w:pPr>
        <w:spacing w:after="0"/>
        <w:ind w:left="720" w:hangingChars="300" w:hanging="720"/>
        <w:jc w:val="center"/>
        <w:rPr>
          <w:szCs w:val="24"/>
        </w:rPr>
      </w:pPr>
      <w:r>
        <w:rPr>
          <w:szCs w:val="24"/>
        </w:rPr>
        <w:lastRenderedPageBreak/>
        <w:t>References</w:t>
      </w:r>
    </w:p>
    <w:p w:rsidR="00743AF7" w:rsidRPr="00743AF7" w:rsidRDefault="00743AF7" w:rsidP="00D4518C">
      <w:pPr>
        <w:spacing w:after="0"/>
        <w:ind w:left="720" w:hanging="720"/>
        <w:rPr>
          <w:szCs w:val="24"/>
        </w:rPr>
      </w:pPr>
      <w:r w:rsidRPr="00743AF7">
        <w:rPr>
          <w:szCs w:val="24"/>
        </w:rPr>
        <w:t xml:space="preserve">Fischer, T., &amp; Krauss, C. (2018). Deep learning with long short-term memory networks for financial market predictions. </w:t>
      </w:r>
      <w:r w:rsidRPr="00743AF7">
        <w:rPr>
          <w:i/>
          <w:iCs/>
          <w:szCs w:val="24"/>
        </w:rPr>
        <w:t>European Journal of Operational Research</w:t>
      </w:r>
      <w:r w:rsidRPr="00743AF7">
        <w:rPr>
          <w:szCs w:val="24"/>
        </w:rPr>
        <w:t xml:space="preserve">, </w:t>
      </w:r>
      <w:r w:rsidRPr="00743AF7">
        <w:rPr>
          <w:i/>
          <w:iCs/>
          <w:szCs w:val="24"/>
        </w:rPr>
        <w:t>270</w:t>
      </w:r>
      <w:r w:rsidRPr="00743AF7">
        <w:rPr>
          <w:szCs w:val="24"/>
        </w:rPr>
        <w:t>(2), 654-669.</w:t>
      </w:r>
    </w:p>
    <w:p w:rsidR="00743AF7" w:rsidRPr="00743AF7" w:rsidRDefault="00743AF7" w:rsidP="00D4518C">
      <w:pPr>
        <w:spacing w:after="0"/>
        <w:ind w:left="720" w:hanging="720"/>
        <w:rPr>
          <w:szCs w:val="24"/>
        </w:rPr>
      </w:pPr>
      <w:r w:rsidRPr="00743AF7">
        <w:rPr>
          <w:szCs w:val="24"/>
        </w:rPr>
        <w:t xml:space="preserve">Rubin, G. D., &amp; Patel, B. N. (2017). Financial forecasting and stochastic modeling: predicting the impact of business decisions. </w:t>
      </w:r>
      <w:r w:rsidRPr="00743AF7">
        <w:rPr>
          <w:i/>
          <w:iCs/>
          <w:szCs w:val="24"/>
        </w:rPr>
        <w:t>Radiology</w:t>
      </w:r>
      <w:r w:rsidRPr="00743AF7">
        <w:rPr>
          <w:szCs w:val="24"/>
        </w:rPr>
        <w:t xml:space="preserve">, </w:t>
      </w:r>
      <w:r w:rsidRPr="00743AF7">
        <w:rPr>
          <w:i/>
          <w:iCs/>
          <w:szCs w:val="24"/>
        </w:rPr>
        <w:t>283</w:t>
      </w:r>
      <w:r w:rsidRPr="00743AF7">
        <w:rPr>
          <w:szCs w:val="24"/>
        </w:rPr>
        <w:t>(2), 342-358.</w:t>
      </w:r>
    </w:p>
    <w:p w:rsidR="00743AF7" w:rsidRPr="00743AF7" w:rsidRDefault="00743AF7" w:rsidP="00D4518C">
      <w:pPr>
        <w:spacing w:after="0"/>
        <w:ind w:left="720" w:hanging="720"/>
        <w:rPr>
          <w:szCs w:val="24"/>
        </w:rPr>
      </w:pPr>
      <w:r w:rsidRPr="00743AF7">
        <w:rPr>
          <w:szCs w:val="24"/>
        </w:rPr>
        <w:t xml:space="preserve">Xu, H. C., Gu, G. F., &amp; Zhou, W. X. (2017). Direct determination approach for the multifractal detrending moving average analysis. </w:t>
      </w:r>
      <w:r w:rsidRPr="00743AF7">
        <w:rPr>
          <w:i/>
          <w:iCs/>
          <w:szCs w:val="24"/>
        </w:rPr>
        <w:t>Physical Review E</w:t>
      </w:r>
      <w:r w:rsidRPr="00743AF7">
        <w:rPr>
          <w:szCs w:val="24"/>
        </w:rPr>
        <w:t xml:space="preserve">, </w:t>
      </w:r>
      <w:r w:rsidRPr="00743AF7">
        <w:rPr>
          <w:i/>
          <w:iCs/>
          <w:szCs w:val="24"/>
        </w:rPr>
        <w:t>96</w:t>
      </w:r>
      <w:r w:rsidRPr="00743AF7">
        <w:rPr>
          <w:szCs w:val="24"/>
        </w:rPr>
        <w:t>(5), 052201.</w:t>
      </w:r>
    </w:p>
    <w:sectPr w:rsidR="00743AF7" w:rsidRPr="00743AF7"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22B" w:rsidRDefault="0018422B" w:rsidP="00790ECD">
      <w:pPr>
        <w:spacing w:after="0" w:line="240" w:lineRule="auto"/>
      </w:pPr>
      <w:r>
        <w:separator/>
      </w:r>
    </w:p>
  </w:endnote>
  <w:endnote w:type="continuationSeparator" w:id="0">
    <w:p w:rsidR="0018422B" w:rsidRDefault="0018422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22B" w:rsidRDefault="0018422B" w:rsidP="00790ECD">
      <w:pPr>
        <w:spacing w:after="0" w:line="240" w:lineRule="auto"/>
      </w:pPr>
      <w:r>
        <w:separator/>
      </w:r>
    </w:p>
  </w:footnote>
  <w:footnote w:type="continuationSeparator" w:id="0">
    <w:p w:rsidR="0018422B" w:rsidRDefault="0018422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F3453" w:rsidP="00EF3453">
        <w:pPr>
          <w:pStyle w:val="Header"/>
          <w:jc w:val="center"/>
        </w:pPr>
        <w:r>
          <w:t>HIGHLINE FINANCIAL SERVICES, LTD</w:t>
        </w:r>
        <w:r w:rsidR="003A2F85">
          <w:tab/>
        </w:r>
        <w:r w:rsidR="003A2F85">
          <w:tab/>
        </w:r>
        <w:r w:rsidR="00052DA2">
          <w:fldChar w:fldCharType="begin"/>
        </w:r>
        <w:r w:rsidR="00052DA2">
          <w:instrText xml:space="preserve"> PAGE   \* MERGEFORMAT </w:instrText>
        </w:r>
        <w:r w:rsidR="00052DA2">
          <w:fldChar w:fldCharType="separate"/>
        </w:r>
        <w:r w:rsidR="00D4518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EF3453">
      <w:t>HIGHLINE FINANCIAL SERVICES, LTD</w:t>
    </w:r>
    <w:r w:rsidR="00D5124F">
      <w:t xml:space="preserve">                           </w:t>
    </w:r>
    <w:r w:rsidR="00EF3453">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8422B"/>
    <w:rsid w:val="00190BE7"/>
    <w:rsid w:val="00196B3F"/>
    <w:rsid w:val="001A475D"/>
    <w:rsid w:val="001C55F2"/>
    <w:rsid w:val="001D331D"/>
    <w:rsid w:val="001E78AD"/>
    <w:rsid w:val="00220C58"/>
    <w:rsid w:val="002229DA"/>
    <w:rsid w:val="00257262"/>
    <w:rsid w:val="002572E5"/>
    <w:rsid w:val="002C58B6"/>
    <w:rsid w:val="002E0135"/>
    <w:rsid w:val="002E3683"/>
    <w:rsid w:val="002E6FB0"/>
    <w:rsid w:val="002F01C1"/>
    <w:rsid w:val="00300376"/>
    <w:rsid w:val="00362BAC"/>
    <w:rsid w:val="003771D7"/>
    <w:rsid w:val="00386290"/>
    <w:rsid w:val="0039592B"/>
    <w:rsid w:val="003A2F85"/>
    <w:rsid w:val="003E7231"/>
    <w:rsid w:val="003F55C0"/>
    <w:rsid w:val="004B10DF"/>
    <w:rsid w:val="004C5BAC"/>
    <w:rsid w:val="004D4872"/>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43AF7"/>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59C"/>
    <w:rsid w:val="00A926AD"/>
    <w:rsid w:val="00AB1B13"/>
    <w:rsid w:val="00AD03E9"/>
    <w:rsid w:val="00AE03BE"/>
    <w:rsid w:val="00AF71FD"/>
    <w:rsid w:val="00B1451E"/>
    <w:rsid w:val="00B30CA8"/>
    <w:rsid w:val="00B365FE"/>
    <w:rsid w:val="00B63977"/>
    <w:rsid w:val="00BA1633"/>
    <w:rsid w:val="00C7128E"/>
    <w:rsid w:val="00D15FB4"/>
    <w:rsid w:val="00D41388"/>
    <w:rsid w:val="00D4518C"/>
    <w:rsid w:val="00D5124F"/>
    <w:rsid w:val="00D53B8C"/>
    <w:rsid w:val="00D77F2F"/>
    <w:rsid w:val="00D86418"/>
    <w:rsid w:val="00DC7D4B"/>
    <w:rsid w:val="00E04B0E"/>
    <w:rsid w:val="00E642CD"/>
    <w:rsid w:val="00EC0B96"/>
    <w:rsid w:val="00EC10BD"/>
    <w:rsid w:val="00ED2214"/>
    <w:rsid w:val="00ED4330"/>
    <w:rsid w:val="00EF3453"/>
    <w:rsid w:val="00F4000A"/>
    <w:rsid w:val="00F52F80"/>
    <w:rsid w:val="00F563CA"/>
    <w:rsid w:val="00F613C7"/>
    <w:rsid w:val="00F6226F"/>
    <w:rsid w:val="00F65DC6"/>
    <w:rsid w:val="00F9780E"/>
    <w:rsid w:val="00FB3101"/>
    <w:rsid w:val="00FE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818FB0-C08C-4C7C-B0D4-B1A30DFB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table" w:styleId="TableGrid">
    <w:name w:val="Table Grid"/>
    <w:basedOn w:val="TableNormal"/>
    <w:uiPriority w:val="59"/>
    <w:rsid w:val="00362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53156">
      <w:bodyDiv w:val="1"/>
      <w:marLeft w:val="0"/>
      <w:marRight w:val="0"/>
      <w:marTop w:val="0"/>
      <w:marBottom w:val="0"/>
      <w:divBdr>
        <w:top w:val="none" w:sz="0" w:space="0" w:color="auto"/>
        <w:left w:val="none" w:sz="0" w:space="0" w:color="auto"/>
        <w:bottom w:val="none" w:sz="0" w:space="0" w:color="auto"/>
        <w:right w:val="none" w:sz="0" w:space="0" w:color="auto"/>
      </w:divBdr>
      <w:divsChild>
        <w:div w:id="30693045">
          <w:marLeft w:val="0"/>
          <w:marRight w:val="0"/>
          <w:marTop w:val="0"/>
          <w:marBottom w:val="0"/>
          <w:divBdr>
            <w:top w:val="none" w:sz="0" w:space="0" w:color="auto"/>
            <w:left w:val="none" w:sz="0" w:space="0" w:color="auto"/>
            <w:bottom w:val="none" w:sz="0" w:space="0" w:color="auto"/>
            <w:right w:val="none" w:sz="0" w:space="0" w:color="auto"/>
          </w:divBdr>
        </w:div>
      </w:divsChild>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924340894">
      <w:bodyDiv w:val="1"/>
      <w:marLeft w:val="0"/>
      <w:marRight w:val="0"/>
      <w:marTop w:val="0"/>
      <w:marBottom w:val="0"/>
      <w:divBdr>
        <w:top w:val="none" w:sz="0" w:space="0" w:color="auto"/>
        <w:left w:val="none" w:sz="0" w:space="0" w:color="auto"/>
        <w:bottom w:val="none" w:sz="0" w:space="0" w:color="auto"/>
        <w:right w:val="none" w:sz="0" w:space="0" w:color="auto"/>
      </w:divBdr>
      <w:divsChild>
        <w:div w:id="668872201">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99339713">
      <w:bodyDiv w:val="1"/>
      <w:marLeft w:val="0"/>
      <w:marRight w:val="0"/>
      <w:marTop w:val="0"/>
      <w:marBottom w:val="0"/>
      <w:divBdr>
        <w:top w:val="none" w:sz="0" w:space="0" w:color="auto"/>
        <w:left w:val="none" w:sz="0" w:space="0" w:color="auto"/>
        <w:bottom w:val="none" w:sz="0" w:space="0" w:color="auto"/>
        <w:right w:val="none" w:sz="0" w:space="0" w:color="auto"/>
      </w:divBdr>
      <w:divsChild>
        <w:div w:id="1969824182">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6CE31-2139-4894-8EBB-515A2EAF7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2020-10-10T10:49:00Z</dcterms:created>
  <dcterms:modified xsi:type="dcterms:W3CDTF">2020-10-10T10:49:00Z</dcterms:modified>
</cp:coreProperties>
</file>